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30" w:rsidRPr="00377F0E" w:rsidRDefault="00C73F30">
      <w:pPr>
        <w:rPr>
          <w:b/>
          <w:lang w:val="en-US"/>
        </w:rPr>
      </w:pPr>
      <w:r w:rsidRPr="00377F0E">
        <w:rPr>
          <w:b/>
          <w:lang w:val="en-US"/>
        </w:rPr>
        <w:t>Dataset title:</w:t>
      </w:r>
    </w:p>
    <w:p w:rsidR="00DE3227" w:rsidRDefault="00C73F30">
      <w:pPr>
        <w:rPr>
          <w:lang w:val="en-US"/>
        </w:rPr>
      </w:pPr>
      <w:r w:rsidRPr="00C73F30">
        <w:rPr>
          <w:lang w:val="en-US"/>
        </w:rPr>
        <w:t>Topographical Wetness Index for Finland</w:t>
      </w:r>
      <w:r>
        <w:rPr>
          <w:lang w:val="en-US"/>
        </w:rPr>
        <w:t xml:space="preserve"> (2016)</w:t>
      </w:r>
    </w:p>
    <w:p w:rsidR="00685605" w:rsidRPr="00377F0E" w:rsidRDefault="00C73F30">
      <w:pPr>
        <w:rPr>
          <w:b/>
        </w:rPr>
      </w:pPr>
      <w:proofErr w:type="spellStart"/>
      <w:r w:rsidRPr="00377F0E">
        <w:rPr>
          <w:b/>
        </w:rPr>
        <w:t>Description</w:t>
      </w:r>
      <w:proofErr w:type="spellEnd"/>
      <w:r w:rsidRPr="00377F0E">
        <w:rPr>
          <w:b/>
        </w:rPr>
        <w:t>:</w:t>
      </w:r>
    </w:p>
    <w:p w:rsidR="00C73F30" w:rsidRDefault="00685605">
      <w:pPr>
        <w:rPr>
          <w:lang w:val="en-US"/>
        </w:rPr>
      </w:pPr>
      <w:r>
        <w:rPr>
          <w:lang w:val="en-US"/>
        </w:rPr>
        <w:t>The T</w:t>
      </w:r>
      <w:r w:rsidR="00A654CE">
        <w:rPr>
          <w:lang w:val="en-US"/>
        </w:rPr>
        <w:t>opographic Wetness Index</w:t>
      </w:r>
      <w:r w:rsidR="00CA7612">
        <w:rPr>
          <w:lang w:val="en-US"/>
        </w:rPr>
        <w:t xml:space="preserve"> (TWI)</w:t>
      </w:r>
      <w:r w:rsidR="00A654CE"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>ADDIN RW.CITE{{84 Beven,KJ 1979}}</w:instrText>
      </w:r>
      <w:r>
        <w:rPr>
          <w:lang w:val="en-US"/>
        </w:rPr>
        <w:fldChar w:fldCharType="separate"/>
      </w:r>
      <w:r w:rsidR="00081618" w:rsidRPr="00081618">
        <w:rPr>
          <w:rFonts w:ascii="Calibri" w:hAnsi="Calibri" w:cs="Calibri"/>
          <w:lang w:val="en-US"/>
        </w:rPr>
        <w:t>(Beven &amp; Kirkby, 1979)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 w:rsidR="00A654CE">
        <w:rPr>
          <w:lang w:val="en-US"/>
        </w:rPr>
        <w:t xml:space="preserve">was calculated for Finland in accordance to </w:t>
      </w:r>
      <w:r w:rsidR="00081618">
        <w:rPr>
          <w:lang w:val="en-US"/>
        </w:rPr>
        <w:t xml:space="preserve">the </w:t>
      </w:r>
      <w:r w:rsidR="00A654CE">
        <w:rPr>
          <w:lang w:val="en-US"/>
        </w:rPr>
        <w:t>multisource National Forest Inventory</w:t>
      </w:r>
      <w:r w:rsidR="00081618" w:rsidRPr="00081618">
        <w:rPr>
          <w:lang w:val="en-US"/>
        </w:rPr>
        <w:t xml:space="preserve"> </w:t>
      </w:r>
      <w:r w:rsidR="00081618">
        <w:rPr>
          <w:lang w:val="en-US"/>
        </w:rPr>
        <w:t>data resolution and grid (16m*16m)</w:t>
      </w:r>
      <w:r w:rsidR="00A654CE"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>ADDIN RW.CITE{{286 LukeMS-NFI 2015}}</w:instrText>
      </w:r>
      <w:r>
        <w:rPr>
          <w:lang w:val="en-US"/>
        </w:rPr>
        <w:fldChar w:fldCharType="separate"/>
      </w:r>
      <w:r w:rsidRPr="00685605">
        <w:rPr>
          <w:rFonts w:ascii="Calibri" w:hAnsi="Calibri" w:cs="Calibri"/>
          <w:lang w:val="en-US"/>
        </w:rPr>
        <w:t>(Luke MS-NFI, 2015)</w:t>
      </w:r>
      <w:r>
        <w:rPr>
          <w:lang w:val="en-US"/>
        </w:rPr>
        <w:fldChar w:fldCharType="end"/>
      </w:r>
      <w:r w:rsidR="00A654CE">
        <w:rPr>
          <w:lang w:val="en-US"/>
        </w:rPr>
        <w:t xml:space="preserve">. The calculation </w:t>
      </w:r>
      <w:r>
        <w:rPr>
          <w:lang w:val="en-US"/>
        </w:rPr>
        <w:t>was conducted for</w:t>
      </w:r>
      <w:r w:rsidR="00A654CE">
        <w:rPr>
          <w:lang w:val="en-US"/>
        </w:rPr>
        <w:t xml:space="preserve"> a union </w:t>
      </w:r>
      <w:proofErr w:type="gramStart"/>
      <w:r w:rsidR="00A654CE">
        <w:rPr>
          <w:lang w:val="en-US"/>
        </w:rPr>
        <w:t xml:space="preserve">of </w:t>
      </w:r>
      <w:r w:rsidR="00081618">
        <w:rPr>
          <w:lang w:val="en-US"/>
        </w:rPr>
        <w:t xml:space="preserve">two </w:t>
      </w:r>
      <w:r w:rsidR="00A654CE">
        <w:rPr>
          <w:lang w:val="en-US"/>
        </w:rPr>
        <w:t>D</w:t>
      </w:r>
      <w:r w:rsidR="00081618">
        <w:rPr>
          <w:lang w:val="en-US"/>
        </w:rPr>
        <w:t xml:space="preserve">igital Elevation Models (DEM) </w:t>
      </w:r>
      <w:r>
        <w:rPr>
          <w:lang w:val="en-US"/>
        </w:rPr>
        <w:fldChar w:fldCharType="begin"/>
      </w:r>
      <w:r>
        <w:rPr>
          <w:lang w:val="en-US"/>
        </w:rPr>
        <w:instrText>ADDIN RW.CITE{{287 NLS 2017}}</w:instrText>
      </w:r>
      <w:r>
        <w:rPr>
          <w:lang w:val="en-US"/>
        </w:rPr>
        <w:fldChar w:fldCharType="separate"/>
      </w:r>
      <w:r w:rsidRPr="00685605">
        <w:rPr>
          <w:rFonts w:ascii="Calibri" w:hAnsi="Calibri" w:cs="Calibri"/>
          <w:lang w:val="en-US"/>
        </w:rPr>
        <w:t>(NLS, 2017)</w:t>
      </w:r>
      <w:proofErr w:type="gramEnd"/>
      <w:r>
        <w:rPr>
          <w:lang w:val="en-US"/>
        </w:rPr>
        <w:fldChar w:fldCharType="end"/>
      </w:r>
      <w:r w:rsidR="00081618">
        <w:rPr>
          <w:lang w:val="en-US"/>
        </w:rPr>
        <w:t xml:space="preserve"> </w:t>
      </w:r>
      <w:r w:rsidR="00A654CE">
        <w:rPr>
          <w:lang w:val="en-US"/>
        </w:rPr>
        <w:t>including the latest available 2m</w:t>
      </w:r>
      <w:r w:rsidR="00081618">
        <w:rPr>
          <w:lang w:val="en-US"/>
        </w:rPr>
        <w:t xml:space="preserve"> resolution </w:t>
      </w:r>
      <w:r w:rsidR="00A654CE">
        <w:rPr>
          <w:lang w:val="en-US"/>
        </w:rPr>
        <w:t>DEM (</w:t>
      </w:r>
      <w:r>
        <w:rPr>
          <w:lang w:val="en-US"/>
        </w:rPr>
        <w:t xml:space="preserve">status in June 2016) and </w:t>
      </w:r>
      <w:r w:rsidR="00081618">
        <w:rPr>
          <w:lang w:val="en-US"/>
        </w:rPr>
        <w:t xml:space="preserve">the </w:t>
      </w:r>
      <w:r>
        <w:rPr>
          <w:lang w:val="en-US"/>
        </w:rPr>
        <w:t>10</w:t>
      </w:r>
      <w:r w:rsidR="00A654CE">
        <w:rPr>
          <w:lang w:val="en-US"/>
        </w:rPr>
        <w:t>m</w:t>
      </w:r>
      <w:r w:rsidR="00081618">
        <w:rPr>
          <w:lang w:val="en-US"/>
        </w:rPr>
        <w:t xml:space="preserve"> resolution</w:t>
      </w:r>
      <w:r w:rsidR="00A654CE">
        <w:rPr>
          <w:lang w:val="en-US"/>
        </w:rPr>
        <w:t xml:space="preserve"> DEM</w:t>
      </w:r>
      <w:r w:rsidR="00081618">
        <w:rPr>
          <w:lang w:val="en-US"/>
        </w:rPr>
        <w:t xml:space="preserve">. </w:t>
      </w:r>
      <w:r w:rsidR="00CA7612">
        <w:rPr>
          <w:lang w:val="en-US"/>
        </w:rPr>
        <w:t>The combined DEM</w:t>
      </w:r>
      <w:r w:rsidR="00A654CE">
        <w:rPr>
          <w:lang w:val="en-US"/>
        </w:rPr>
        <w:t xml:space="preserve"> </w:t>
      </w:r>
      <w:r w:rsidR="00CA7612">
        <w:rPr>
          <w:lang w:val="en-US"/>
        </w:rPr>
        <w:t xml:space="preserve">was clipped </w:t>
      </w:r>
      <w:r w:rsidR="00A654CE">
        <w:rPr>
          <w:lang w:val="en-US"/>
        </w:rPr>
        <w:t xml:space="preserve">according to </w:t>
      </w:r>
      <w:r w:rsidR="00DC2151">
        <w:rPr>
          <w:lang w:val="en-US"/>
        </w:rPr>
        <w:t>watershed areas</w:t>
      </w:r>
      <w:r w:rsidR="00A654CE">
        <w:rPr>
          <w:lang w:val="en-US"/>
        </w:rPr>
        <w:t xml:space="preserve"> (3rd level division</w:t>
      </w:r>
      <w:proofErr w:type="gramStart"/>
      <w:r w:rsidR="00A654CE">
        <w:rPr>
          <w:lang w:val="en-US"/>
        </w:rPr>
        <w:t>)</w:t>
      </w:r>
      <w:proofErr w:type="gramEnd"/>
      <w:r w:rsidR="00DC2151">
        <w:rPr>
          <w:lang w:val="en-US"/>
        </w:rPr>
        <w:fldChar w:fldCharType="begin"/>
      </w:r>
      <w:r w:rsidR="00DC2151">
        <w:rPr>
          <w:lang w:val="en-US"/>
        </w:rPr>
        <w:instrText>ADDIN RW.CITE{{291 FinnishEnvironmentInstitute 2010}}</w:instrText>
      </w:r>
      <w:r w:rsidR="00DC2151">
        <w:rPr>
          <w:lang w:val="en-US"/>
        </w:rPr>
        <w:fldChar w:fldCharType="separate"/>
      </w:r>
      <w:r w:rsidR="00DC2151" w:rsidRPr="00DC2151">
        <w:rPr>
          <w:rFonts w:ascii="Calibri" w:hAnsi="Calibri" w:cs="Calibri"/>
          <w:lang w:val="en-US"/>
        </w:rPr>
        <w:t>(Finnish Environment Institute, 2010)</w:t>
      </w:r>
      <w:r w:rsidR="00DC2151">
        <w:rPr>
          <w:lang w:val="en-US"/>
        </w:rPr>
        <w:fldChar w:fldCharType="end"/>
      </w:r>
      <w:r w:rsidR="00A654CE">
        <w:rPr>
          <w:lang w:val="en-US"/>
        </w:rPr>
        <w:t xml:space="preserve"> with</w:t>
      </w:r>
      <w:r w:rsidR="00CA7612">
        <w:rPr>
          <w:lang w:val="en-US"/>
        </w:rPr>
        <w:t xml:space="preserve"> 500</w:t>
      </w:r>
      <w:r w:rsidR="00A654CE">
        <w:rPr>
          <w:lang w:val="en-US"/>
        </w:rPr>
        <w:t xml:space="preserve">m buffer to account for uncertainty in basin boundaries </w:t>
      </w:r>
      <w:r w:rsidR="00DC2151">
        <w:rPr>
          <w:lang w:val="en-US"/>
        </w:rPr>
        <w:fldChar w:fldCharType="begin"/>
      </w:r>
      <w:r w:rsidR="00081618">
        <w:rPr>
          <w:lang w:val="en-US"/>
        </w:rPr>
        <w:instrText>ADDIN RW.CITE{{290 Makinen,V. 2016}}</w:instrText>
      </w:r>
      <w:r w:rsidR="00DC2151">
        <w:rPr>
          <w:lang w:val="en-US"/>
        </w:rPr>
        <w:fldChar w:fldCharType="separate"/>
      </w:r>
      <w:r w:rsidR="00081618" w:rsidRPr="00081618">
        <w:rPr>
          <w:rFonts w:ascii="Calibri" w:hAnsi="Calibri" w:cs="Calibri"/>
          <w:lang w:val="en-US"/>
        </w:rPr>
        <w:t>(Makinen, Sarjakoski, Oksanen, &amp; Westerholm, 2016)</w:t>
      </w:r>
      <w:r w:rsidR="00DC2151">
        <w:rPr>
          <w:lang w:val="en-US"/>
        </w:rPr>
        <w:fldChar w:fldCharType="end"/>
      </w:r>
      <w:r w:rsidR="00A654CE">
        <w:rPr>
          <w:lang w:val="en-US"/>
        </w:rPr>
        <w:t xml:space="preserve">. Mean </w:t>
      </w:r>
      <w:r w:rsidR="00CA7612">
        <w:rPr>
          <w:lang w:val="en-US"/>
        </w:rPr>
        <w:t xml:space="preserve">elevation </w:t>
      </w:r>
      <w:r w:rsidR="00A654CE">
        <w:rPr>
          <w:lang w:val="en-US"/>
        </w:rPr>
        <w:t xml:space="preserve">value was used in aggregation to the MS-NFI grid. </w:t>
      </w:r>
      <w:r w:rsidR="00DC7F04" w:rsidRPr="00210671">
        <w:rPr>
          <w:lang w:val="en-US"/>
        </w:rPr>
        <w:t xml:space="preserve"> </w:t>
      </w:r>
      <w:r w:rsidR="00CA7612">
        <w:rPr>
          <w:lang w:val="en-US"/>
        </w:rPr>
        <w:t>The p</w:t>
      </w:r>
      <w:r w:rsidR="00A654CE">
        <w:rPr>
          <w:lang w:val="en-US"/>
        </w:rPr>
        <w:t>re</w:t>
      </w:r>
      <w:r w:rsidR="00CA7612">
        <w:rPr>
          <w:lang w:val="en-US"/>
        </w:rPr>
        <w:t>-</w:t>
      </w:r>
      <w:r w:rsidR="00A654CE">
        <w:rPr>
          <w:lang w:val="en-US"/>
        </w:rPr>
        <w:t>processin</w:t>
      </w:r>
      <w:r w:rsidR="00081618">
        <w:rPr>
          <w:lang w:val="en-US"/>
        </w:rPr>
        <w:t>g</w:t>
      </w:r>
      <w:r w:rsidR="00CA7612">
        <w:rPr>
          <w:lang w:val="en-US"/>
        </w:rPr>
        <w:t xml:space="preserve"> of the DEM</w:t>
      </w:r>
      <w:r w:rsidR="00081618">
        <w:rPr>
          <w:lang w:val="en-US"/>
        </w:rPr>
        <w:t xml:space="preserve"> and the calculation of </w:t>
      </w:r>
      <w:r w:rsidR="00CA7612">
        <w:rPr>
          <w:lang w:val="en-US"/>
        </w:rPr>
        <w:t xml:space="preserve">the </w:t>
      </w:r>
      <w:r w:rsidR="00081618">
        <w:rPr>
          <w:lang w:val="en-US"/>
        </w:rPr>
        <w:t>TWI were</w:t>
      </w:r>
      <w:r w:rsidR="00A654CE">
        <w:rPr>
          <w:lang w:val="en-US"/>
        </w:rPr>
        <w:t xml:space="preserve"> conducted in </w:t>
      </w:r>
      <w:proofErr w:type="spellStart"/>
      <w:r w:rsidR="00A654CE">
        <w:rPr>
          <w:lang w:val="en-US"/>
        </w:rPr>
        <w:t>WhiteBox</w:t>
      </w:r>
      <w:proofErr w:type="spellEnd"/>
      <w:r w:rsidR="00A654CE">
        <w:rPr>
          <w:lang w:val="en-US"/>
        </w:rPr>
        <w:t xml:space="preserve"> GIS </w:t>
      </w:r>
      <w:proofErr w:type="spellStart"/>
      <w:r w:rsidR="00A654CE">
        <w:rPr>
          <w:lang w:val="en-US"/>
        </w:rPr>
        <w:t>programme</w:t>
      </w:r>
      <w:proofErr w:type="spellEnd"/>
      <w:r w:rsidR="00A654CE">
        <w:rPr>
          <w:lang w:val="en-US"/>
        </w:rPr>
        <w:t xml:space="preserve"> </w:t>
      </w:r>
      <w:r w:rsidR="00DC2151">
        <w:rPr>
          <w:lang w:val="en-US"/>
        </w:rPr>
        <w:fldChar w:fldCharType="begin"/>
      </w:r>
      <w:r w:rsidR="00DC2151">
        <w:rPr>
          <w:lang w:val="en-US"/>
        </w:rPr>
        <w:instrText>ADDIN RW.CITE{{292 Lindsay,JohnB. 2014}}</w:instrText>
      </w:r>
      <w:r w:rsidR="00DC2151">
        <w:rPr>
          <w:lang w:val="en-US"/>
        </w:rPr>
        <w:fldChar w:fldCharType="separate"/>
      </w:r>
      <w:r w:rsidR="00DC2151" w:rsidRPr="00DC2151">
        <w:rPr>
          <w:rFonts w:ascii="Calibri" w:hAnsi="Calibri" w:cs="Calibri"/>
          <w:lang w:val="en-US"/>
        </w:rPr>
        <w:t>(Lindsay, 2014)</w:t>
      </w:r>
      <w:r w:rsidR="00DC2151">
        <w:rPr>
          <w:lang w:val="en-US"/>
        </w:rPr>
        <w:fldChar w:fldCharType="end"/>
      </w:r>
      <w:r w:rsidR="00A654CE">
        <w:rPr>
          <w:lang w:val="en-US"/>
        </w:rPr>
        <w:t xml:space="preserve"> with python script looping through the 5637 </w:t>
      </w:r>
      <w:r w:rsidR="00081618">
        <w:rPr>
          <w:lang w:val="en-US"/>
        </w:rPr>
        <w:t>watershed</w:t>
      </w:r>
      <w:r w:rsidR="00A654CE">
        <w:rPr>
          <w:lang w:val="en-US"/>
        </w:rPr>
        <w:t>s.  First the road and stream intersections (derived from NLS Topographical Database) were burned into the D</w:t>
      </w:r>
      <w:r w:rsidR="00CA7612">
        <w:rPr>
          <w:lang w:val="en-US"/>
        </w:rPr>
        <w:t>EM to account for culverts</w:t>
      </w:r>
      <w:r w:rsidR="00A654CE">
        <w:rPr>
          <w:lang w:val="en-US"/>
        </w:rPr>
        <w:t xml:space="preserve">. Then all </w:t>
      </w:r>
      <w:r w:rsidR="00CA7612">
        <w:rPr>
          <w:lang w:val="en-US"/>
        </w:rPr>
        <w:t>water elements</w:t>
      </w:r>
      <w:r w:rsidR="00A654CE">
        <w:rPr>
          <w:lang w:val="en-US"/>
        </w:rPr>
        <w:t xml:space="preserve"> were burned into the DEM with 1</w:t>
      </w:r>
      <w:r w:rsidR="00243061">
        <w:rPr>
          <w:lang w:val="en-US"/>
        </w:rPr>
        <w:t xml:space="preserve"> </w:t>
      </w:r>
      <w:r w:rsidR="00A654CE">
        <w:rPr>
          <w:lang w:val="en-US"/>
        </w:rPr>
        <w:t>meter upper threshold</w:t>
      </w:r>
      <w:r w:rsidR="00243061">
        <w:rPr>
          <w:lang w:val="en-US"/>
        </w:rPr>
        <w:t xml:space="preserve"> and a </w:t>
      </w:r>
      <w:r w:rsidR="00CA7612">
        <w:rPr>
          <w:lang w:val="en-US"/>
        </w:rPr>
        <w:t xml:space="preserve">decay </w:t>
      </w:r>
      <w:r w:rsidR="00243061">
        <w:rPr>
          <w:lang w:val="en-US"/>
        </w:rPr>
        <w:t xml:space="preserve">factor accounting for possible </w:t>
      </w:r>
      <w:proofErr w:type="spellStart"/>
      <w:r w:rsidR="00243061">
        <w:rPr>
          <w:lang w:val="en-US"/>
        </w:rPr>
        <w:t>mis</w:t>
      </w:r>
      <w:proofErr w:type="spellEnd"/>
      <w:r w:rsidR="00243061">
        <w:rPr>
          <w:lang w:val="en-US"/>
        </w:rPr>
        <w:t xml:space="preserve">-aligned stream data. The DEM was then handled with </w:t>
      </w:r>
      <w:r w:rsidR="00CA7612">
        <w:rPr>
          <w:lang w:val="en-US"/>
        </w:rPr>
        <w:t>‘</w:t>
      </w:r>
      <w:r w:rsidR="00B7032D">
        <w:rPr>
          <w:lang w:val="en-US"/>
        </w:rPr>
        <w:t>Fast Breach</w:t>
      </w:r>
      <w:bookmarkStart w:id="0" w:name="_GoBack"/>
      <w:bookmarkEnd w:id="0"/>
      <w:r w:rsidR="00CA7612">
        <w:rPr>
          <w:lang w:val="en-US"/>
        </w:rPr>
        <w:t xml:space="preserve"> Depressions’</w:t>
      </w:r>
      <w:r w:rsidR="00CC5EF6">
        <w:rPr>
          <w:lang w:val="en-US"/>
        </w:rPr>
        <w:t xml:space="preserve"> tool </w:t>
      </w:r>
      <w:r w:rsidR="00243061">
        <w:rPr>
          <w:lang w:val="en-US"/>
        </w:rPr>
        <w:t xml:space="preserve">that offers a good alternative to </w:t>
      </w:r>
      <w:r w:rsidR="00CA7612">
        <w:rPr>
          <w:lang w:val="en-US"/>
        </w:rPr>
        <w:t>the traditional filling method</w:t>
      </w:r>
      <w:r w:rsidR="00243061">
        <w:rPr>
          <w:lang w:val="en-US"/>
        </w:rPr>
        <w:t xml:space="preserve"> to deal with artificial pits in DEMs </w:t>
      </w:r>
      <w:r w:rsidR="00081618">
        <w:rPr>
          <w:lang w:val="en-US"/>
        </w:rPr>
        <w:fldChar w:fldCharType="begin"/>
      </w:r>
      <w:r w:rsidR="00081618">
        <w:rPr>
          <w:lang w:val="en-US"/>
        </w:rPr>
        <w:instrText>ADDIN RW.CITE{{68 Lindsay,JohnB. 2016}}</w:instrText>
      </w:r>
      <w:r w:rsidR="00081618">
        <w:rPr>
          <w:lang w:val="en-US"/>
        </w:rPr>
        <w:fldChar w:fldCharType="separate"/>
      </w:r>
      <w:r w:rsidR="00081618" w:rsidRPr="00081618">
        <w:rPr>
          <w:rFonts w:ascii="Calibri" w:hAnsi="Calibri" w:cs="Calibri"/>
          <w:lang w:val="en-US"/>
        </w:rPr>
        <w:t>(Lindsay, 2016)</w:t>
      </w:r>
      <w:r w:rsidR="00081618">
        <w:rPr>
          <w:lang w:val="en-US"/>
        </w:rPr>
        <w:fldChar w:fldCharType="end"/>
      </w:r>
      <w:r w:rsidR="00243061">
        <w:rPr>
          <w:lang w:val="en-US"/>
        </w:rPr>
        <w:t xml:space="preserve">. </w:t>
      </w:r>
      <w:r w:rsidR="004F5CB7">
        <w:rPr>
          <w:lang w:val="en-US"/>
        </w:rPr>
        <w:t xml:space="preserve">After, the flow direction and flow accumulation </w:t>
      </w:r>
      <w:proofErr w:type="spellStart"/>
      <w:r w:rsidR="004F5CB7">
        <w:rPr>
          <w:lang w:val="en-US"/>
        </w:rPr>
        <w:t>rasters</w:t>
      </w:r>
      <w:proofErr w:type="spellEnd"/>
      <w:r w:rsidR="004F5CB7">
        <w:rPr>
          <w:lang w:val="en-US"/>
        </w:rPr>
        <w:t xml:space="preserve"> were calculated with the D-infinity method </w:t>
      </w:r>
      <w:r w:rsidR="00081618">
        <w:rPr>
          <w:lang w:val="en-US"/>
        </w:rPr>
        <w:fldChar w:fldCharType="begin"/>
      </w:r>
      <w:r w:rsidR="00081618">
        <w:rPr>
          <w:lang w:val="en-US"/>
        </w:rPr>
        <w:instrText>ADDIN RW.CITE{{3 Tarboton,DG 1997}}</w:instrText>
      </w:r>
      <w:r w:rsidR="00081618">
        <w:rPr>
          <w:lang w:val="en-US"/>
        </w:rPr>
        <w:fldChar w:fldCharType="separate"/>
      </w:r>
      <w:r w:rsidR="00081618" w:rsidRPr="00081618">
        <w:rPr>
          <w:rFonts w:ascii="Calibri" w:hAnsi="Calibri" w:cs="Calibri"/>
          <w:lang w:val="en-US"/>
        </w:rPr>
        <w:t>(Tarboton, 1997)</w:t>
      </w:r>
      <w:r w:rsidR="00081618">
        <w:rPr>
          <w:lang w:val="en-US"/>
        </w:rPr>
        <w:fldChar w:fldCharType="end"/>
      </w:r>
      <w:r w:rsidR="004F5CB7">
        <w:rPr>
          <w:lang w:val="en-US"/>
        </w:rPr>
        <w:t xml:space="preserve"> and the slope was calculated. The TWI was finally calculated and the la</w:t>
      </w:r>
      <w:r w:rsidR="00CC5EF6">
        <w:rPr>
          <w:lang w:val="en-US"/>
        </w:rPr>
        <w:t>k</w:t>
      </w:r>
      <w:r w:rsidR="004F5CB7">
        <w:rPr>
          <w:lang w:val="en-US"/>
        </w:rPr>
        <w:t>e areas derived from the topographic database were</w:t>
      </w:r>
      <w:r w:rsidR="00CC5EF6">
        <w:rPr>
          <w:lang w:val="en-US"/>
        </w:rPr>
        <w:t xml:space="preserve"> reset as </w:t>
      </w:r>
      <w:proofErr w:type="spellStart"/>
      <w:r w:rsidR="00CC5EF6">
        <w:rPr>
          <w:lang w:val="en-US"/>
        </w:rPr>
        <w:t>NoData</w:t>
      </w:r>
      <w:proofErr w:type="spellEnd"/>
      <w:r w:rsidR="00CC5EF6">
        <w:rPr>
          <w:lang w:val="en-US"/>
        </w:rPr>
        <w:t xml:space="preserve">. </w:t>
      </w:r>
      <w:r w:rsidR="004F5CB7">
        <w:rPr>
          <w:lang w:val="en-US"/>
        </w:rPr>
        <w:t xml:space="preserve"> </w:t>
      </w:r>
    </w:p>
    <w:p w:rsidR="00685605" w:rsidRPr="00081618" w:rsidRDefault="00685605">
      <w:pPr>
        <w:rPr>
          <w:b/>
          <w:lang w:val="en-US"/>
        </w:rPr>
      </w:pPr>
      <w:r w:rsidRPr="00081618">
        <w:rPr>
          <w:b/>
          <w:lang w:val="en-US"/>
        </w:rPr>
        <w:t>References:</w:t>
      </w:r>
    </w:p>
    <w:p w:rsidR="00081618" w:rsidRPr="00081618" w:rsidRDefault="00081618" w:rsidP="00081618">
      <w:pPr>
        <w:rPr>
          <w:lang w:val="en-US"/>
        </w:rPr>
      </w:pPr>
      <w:proofErr w:type="spellStart"/>
      <w:r>
        <w:t>Beven</w:t>
      </w:r>
      <w:proofErr w:type="spellEnd"/>
      <w:r>
        <w:t xml:space="preserve">, K., &amp; </w:t>
      </w:r>
      <w:proofErr w:type="spellStart"/>
      <w:r>
        <w:t>Kirkby</w:t>
      </w:r>
      <w:proofErr w:type="spellEnd"/>
      <w:r>
        <w:t xml:space="preserve">, M. J. (1979). </w:t>
      </w:r>
      <w:proofErr w:type="gramStart"/>
      <w:r w:rsidRPr="00081618">
        <w:rPr>
          <w:lang w:val="en-US"/>
        </w:rPr>
        <w:t>A physically based, variable contributin</w:t>
      </w:r>
      <w:r w:rsidR="006267EE">
        <w:rPr>
          <w:lang w:val="en-US"/>
        </w:rPr>
        <w:t>g area model of basin hydrology</w:t>
      </w:r>
      <w:r w:rsidRPr="00081618">
        <w:rPr>
          <w:lang w:val="en-US"/>
        </w:rPr>
        <w:t>.</w:t>
      </w:r>
      <w:proofErr w:type="gramEnd"/>
      <w:r w:rsidRPr="00081618">
        <w:rPr>
          <w:lang w:val="en-US"/>
        </w:rPr>
        <w:t xml:space="preserve"> Hydrological Sciences Journal, 24(1), 43-69. </w:t>
      </w:r>
    </w:p>
    <w:p w:rsidR="00081618" w:rsidRPr="00081618" w:rsidRDefault="00081618" w:rsidP="00081618">
      <w:pPr>
        <w:rPr>
          <w:lang w:val="en-US"/>
        </w:rPr>
      </w:pPr>
      <w:r w:rsidRPr="00081618">
        <w:rPr>
          <w:lang w:val="en-US"/>
        </w:rPr>
        <w:t>Finnish Environment Institute. (2010). Catchment areas: Dataset. Retrieved from http://metatieto.ymparisto.fi:8080/geoportal/catalog/search/resource/details.page?uuid={D6C6858A-562D-4965-AD77-2B1E97EFFA6B}</w:t>
      </w:r>
    </w:p>
    <w:p w:rsidR="00081618" w:rsidRPr="00081618" w:rsidRDefault="006267EE" w:rsidP="00081618">
      <w:pPr>
        <w:rPr>
          <w:lang w:val="en-US"/>
        </w:rPr>
      </w:pPr>
      <w:r>
        <w:rPr>
          <w:lang w:val="en-US"/>
        </w:rPr>
        <w:t xml:space="preserve">Lindsay, J. B. (2014). </w:t>
      </w:r>
      <w:proofErr w:type="gramStart"/>
      <w:r>
        <w:rPr>
          <w:lang w:val="en-US"/>
        </w:rPr>
        <w:t xml:space="preserve">The </w:t>
      </w:r>
      <w:proofErr w:type="spellStart"/>
      <w:r>
        <w:rPr>
          <w:lang w:val="en-US"/>
        </w:rPr>
        <w:t>Whitebox</w:t>
      </w:r>
      <w:proofErr w:type="spellEnd"/>
      <w:r>
        <w:rPr>
          <w:lang w:val="en-US"/>
        </w:rPr>
        <w:t xml:space="preserve"> Geospatial Analysis T</w:t>
      </w:r>
      <w:r w:rsidR="00081618" w:rsidRPr="00081618">
        <w:rPr>
          <w:lang w:val="en-US"/>
        </w:rPr>
        <w:t>ools project and open-access GIS.</w:t>
      </w:r>
      <w:proofErr w:type="gramEnd"/>
      <w:r w:rsidR="00081618" w:rsidRPr="00081618">
        <w:rPr>
          <w:lang w:val="en-US"/>
        </w:rPr>
        <w:t xml:space="preserve"> Proceedings</w:t>
      </w:r>
      <w:r>
        <w:rPr>
          <w:lang w:val="en-US"/>
        </w:rPr>
        <w:t xml:space="preserve"> </w:t>
      </w:r>
      <w:r w:rsidR="00081618" w:rsidRPr="00081618">
        <w:rPr>
          <w:lang w:val="en-US"/>
        </w:rPr>
        <w:t>of</w:t>
      </w:r>
      <w:r>
        <w:rPr>
          <w:lang w:val="en-US"/>
        </w:rPr>
        <w:t xml:space="preserve"> </w:t>
      </w:r>
      <w:r w:rsidR="00081618" w:rsidRPr="00081618">
        <w:rPr>
          <w:lang w:val="en-US"/>
        </w:rPr>
        <w:t>the</w:t>
      </w:r>
      <w:r>
        <w:rPr>
          <w:lang w:val="en-US"/>
        </w:rPr>
        <w:t xml:space="preserve"> </w:t>
      </w:r>
      <w:r w:rsidR="00081618" w:rsidRPr="00081618">
        <w:rPr>
          <w:lang w:val="en-US"/>
        </w:rPr>
        <w:t>GIS</w:t>
      </w:r>
      <w:r>
        <w:rPr>
          <w:lang w:val="en-US"/>
        </w:rPr>
        <w:t xml:space="preserve"> </w:t>
      </w:r>
      <w:r w:rsidR="00081618" w:rsidRPr="00081618">
        <w:rPr>
          <w:lang w:val="en-US"/>
        </w:rPr>
        <w:t>Research</w:t>
      </w:r>
      <w:r>
        <w:rPr>
          <w:lang w:val="en-US"/>
        </w:rPr>
        <w:t xml:space="preserve"> </w:t>
      </w:r>
      <w:r w:rsidR="00081618" w:rsidRPr="00081618">
        <w:rPr>
          <w:lang w:val="en-US"/>
        </w:rPr>
        <w:t>UK</w:t>
      </w:r>
      <w:r>
        <w:rPr>
          <w:lang w:val="en-US"/>
        </w:rPr>
        <w:t xml:space="preserve"> 22nd Annual Conference, </w:t>
      </w:r>
      <w:r w:rsidR="00081618" w:rsidRPr="00081618">
        <w:rPr>
          <w:lang w:val="en-US"/>
        </w:rPr>
        <w:t>University of Glasgow, 16–18 April. doi:10.13140/RG.2.1.1010.8962</w:t>
      </w:r>
    </w:p>
    <w:p w:rsidR="00081618" w:rsidRPr="00081618" w:rsidRDefault="00081618" w:rsidP="00081618">
      <w:pPr>
        <w:rPr>
          <w:lang w:val="en-US"/>
        </w:rPr>
      </w:pPr>
      <w:r w:rsidRPr="00081618">
        <w:rPr>
          <w:lang w:val="en-US"/>
        </w:rPr>
        <w:t>Lindsay, J. B. (2016). The practice of DEM stream burning revisited. Earth Surface Processes and Landforms, 41(5), 658-668. doi:10.1002/esp.3888</w:t>
      </w:r>
    </w:p>
    <w:p w:rsidR="00081618" w:rsidRPr="00081618" w:rsidRDefault="006267EE" w:rsidP="00081618">
      <w:pPr>
        <w:rPr>
          <w:lang w:val="en-US"/>
        </w:rPr>
      </w:pPr>
      <w:r>
        <w:rPr>
          <w:lang w:val="en-US"/>
        </w:rPr>
        <w:t xml:space="preserve">Luke MS-NFI. </w:t>
      </w:r>
      <w:proofErr w:type="gramStart"/>
      <w:r>
        <w:rPr>
          <w:lang w:val="en-US"/>
        </w:rPr>
        <w:t>(2015). Multi-Source National Forest I</w:t>
      </w:r>
      <w:r w:rsidR="00081618" w:rsidRPr="00081618">
        <w:rPr>
          <w:lang w:val="en-US"/>
        </w:rPr>
        <w:t>nventory 2013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Available form </w:t>
      </w:r>
      <w:r w:rsidRPr="006267EE">
        <w:rPr>
          <w:lang w:val="en-US"/>
        </w:rPr>
        <w:t>http://kartta.luke.fi/index-en.html</w:t>
      </w:r>
    </w:p>
    <w:p w:rsidR="00081618" w:rsidRPr="00081618" w:rsidRDefault="00081618" w:rsidP="00081618">
      <w:pPr>
        <w:rPr>
          <w:lang w:val="en-US"/>
        </w:rPr>
      </w:pPr>
      <w:r w:rsidRPr="00B7032D">
        <w:rPr>
          <w:lang w:val="en-US"/>
        </w:rPr>
        <w:t xml:space="preserve">Makinen, V., Sarjakoski, T., Oksanen, J., &amp; Westerholm, J. (2016). </w:t>
      </w:r>
      <w:r w:rsidRPr="00081618">
        <w:rPr>
          <w:lang w:val="en-US"/>
        </w:rPr>
        <w:t>A multi-GPU program for uncertainty-aware drainage basin delineation: Scalability benchmarking with country-wide data sets. IEEE Geoscience and Remote Sensing Magazine, 4(3), 59-68. doi:10.1109/MGRS.2016.2561405</w:t>
      </w:r>
    </w:p>
    <w:p w:rsidR="00081618" w:rsidRPr="00081618" w:rsidRDefault="006267EE" w:rsidP="00081618">
      <w:pPr>
        <w:rPr>
          <w:lang w:val="en-US"/>
        </w:rPr>
      </w:pPr>
      <w:proofErr w:type="gramStart"/>
      <w:r>
        <w:rPr>
          <w:lang w:val="en-US"/>
        </w:rPr>
        <w:t>NLS.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(2017). National Land Survey of Finland Topographic D</w:t>
      </w:r>
      <w:r w:rsidR="00081618" w:rsidRPr="00081618">
        <w:rPr>
          <w:lang w:val="en-US"/>
        </w:rPr>
        <w:t>atabase.</w:t>
      </w:r>
      <w:proofErr w:type="gramEnd"/>
      <w:r w:rsidR="00081618" w:rsidRPr="00081618">
        <w:rPr>
          <w:lang w:val="en-US"/>
        </w:rPr>
        <w:t xml:space="preserve"> Retrieved from http://www.maanmittauslaitos.fi/en/e-services/open-data-file-download-service</w:t>
      </w:r>
    </w:p>
    <w:p w:rsidR="00081618" w:rsidRPr="00081618" w:rsidRDefault="00081618" w:rsidP="00081618">
      <w:pPr>
        <w:rPr>
          <w:lang w:val="en-US"/>
        </w:rPr>
      </w:pPr>
      <w:proofErr w:type="spellStart"/>
      <w:r w:rsidRPr="00081618">
        <w:rPr>
          <w:lang w:val="en-US"/>
        </w:rPr>
        <w:lastRenderedPageBreak/>
        <w:t>Tarboton</w:t>
      </w:r>
      <w:proofErr w:type="spellEnd"/>
      <w:r w:rsidRPr="00081618">
        <w:rPr>
          <w:lang w:val="en-US"/>
        </w:rPr>
        <w:t xml:space="preserve">, D. (1997). </w:t>
      </w:r>
      <w:proofErr w:type="gramStart"/>
      <w:r w:rsidRPr="00081618">
        <w:rPr>
          <w:lang w:val="en-US"/>
        </w:rPr>
        <w:t>A new method for the determination of flow directions and upslope areas in grid digital elevation models.</w:t>
      </w:r>
      <w:proofErr w:type="gramEnd"/>
      <w:r w:rsidRPr="00081618">
        <w:rPr>
          <w:lang w:val="en-US"/>
        </w:rPr>
        <w:t xml:space="preserve"> </w:t>
      </w:r>
      <w:r w:rsidRPr="006267EE">
        <w:rPr>
          <w:lang w:val="en-US"/>
        </w:rPr>
        <w:t xml:space="preserve">Water Resources Research, 33(2), 309-319. </w:t>
      </w:r>
      <w:proofErr w:type="gramStart"/>
      <w:r w:rsidRPr="006267EE">
        <w:rPr>
          <w:lang w:val="en-US"/>
        </w:rPr>
        <w:t>doi:</w:t>
      </w:r>
      <w:proofErr w:type="gramEnd"/>
      <w:r w:rsidRPr="006267EE">
        <w:rPr>
          <w:lang w:val="en-US"/>
        </w:rPr>
        <w:t>10.1029/96WR03137</w:t>
      </w:r>
    </w:p>
    <w:p w:rsidR="00C73F30" w:rsidRPr="00210671" w:rsidRDefault="00C73F30">
      <w:pPr>
        <w:rPr>
          <w:b/>
          <w:lang w:val="en-US"/>
        </w:rPr>
      </w:pPr>
      <w:r w:rsidRPr="00210671">
        <w:rPr>
          <w:b/>
          <w:lang w:val="en-US"/>
        </w:rPr>
        <w:t>Keywords:</w:t>
      </w:r>
    </w:p>
    <w:p w:rsidR="00C73F30" w:rsidRPr="00210671" w:rsidRDefault="00C73F30">
      <w:pPr>
        <w:rPr>
          <w:lang w:val="en-US"/>
        </w:rPr>
      </w:pPr>
      <w:r w:rsidRPr="00210671">
        <w:rPr>
          <w:lang w:val="en-US"/>
        </w:rPr>
        <w:t>Topographical Wetness Ind</w:t>
      </w:r>
      <w:r w:rsidR="006267EE">
        <w:rPr>
          <w:lang w:val="en-US"/>
        </w:rPr>
        <w:t>ex, TWI</w:t>
      </w:r>
    </w:p>
    <w:p w:rsidR="00C73F30" w:rsidRPr="00210671" w:rsidRDefault="00BD0F1D">
      <w:pPr>
        <w:rPr>
          <w:b/>
          <w:lang w:val="en-US"/>
        </w:rPr>
      </w:pPr>
      <w:r w:rsidRPr="00210671">
        <w:rPr>
          <w:b/>
          <w:lang w:val="en-US"/>
        </w:rPr>
        <w:t>Field of Sc</w:t>
      </w:r>
      <w:r w:rsidR="00C73F30" w:rsidRPr="00210671">
        <w:rPr>
          <w:b/>
          <w:lang w:val="en-US"/>
        </w:rPr>
        <w:t>i</w:t>
      </w:r>
      <w:r w:rsidRPr="00210671">
        <w:rPr>
          <w:b/>
          <w:lang w:val="en-US"/>
        </w:rPr>
        <w:t>e</w:t>
      </w:r>
      <w:r w:rsidR="00C73F30" w:rsidRPr="00210671">
        <w:rPr>
          <w:b/>
          <w:lang w:val="en-US"/>
        </w:rPr>
        <w:t>nce:</w:t>
      </w:r>
    </w:p>
    <w:p w:rsidR="00C73F30" w:rsidRDefault="00C73F30">
      <w:pPr>
        <w:rPr>
          <w:lang w:val="en-US"/>
        </w:rPr>
      </w:pPr>
      <w:r>
        <w:rPr>
          <w:lang w:val="en-US"/>
        </w:rPr>
        <w:t>Natural Resource Management</w:t>
      </w:r>
      <w:r w:rsidR="00BD0F1D">
        <w:rPr>
          <w:lang w:val="en-US"/>
        </w:rPr>
        <w:t>, forest sciences, agricultural sciences¨</w:t>
      </w:r>
    </w:p>
    <w:p w:rsidR="00BD0F1D" w:rsidRPr="00377F0E" w:rsidRDefault="00BD0F1D">
      <w:pPr>
        <w:rPr>
          <w:b/>
          <w:lang w:val="en-US"/>
        </w:rPr>
      </w:pPr>
      <w:r w:rsidRPr="00377F0E">
        <w:rPr>
          <w:b/>
          <w:lang w:val="en-US"/>
        </w:rPr>
        <w:t>Author:</w:t>
      </w:r>
    </w:p>
    <w:p w:rsidR="00BD0F1D" w:rsidRDefault="00BD0F1D" w:rsidP="006267EE">
      <w:pPr>
        <w:rPr>
          <w:lang w:val="en-US"/>
        </w:rPr>
      </w:pPr>
      <w:r>
        <w:rPr>
          <w:lang w:val="en-US"/>
        </w:rPr>
        <w:t>Aura Salmivaara</w:t>
      </w:r>
    </w:p>
    <w:p w:rsidR="00BD0F1D" w:rsidRPr="00377F0E" w:rsidRDefault="00BD0F1D">
      <w:pPr>
        <w:rPr>
          <w:b/>
          <w:lang w:val="en-US"/>
        </w:rPr>
      </w:pPr>
      <w:r w:rsidRPr="00377F0E">
        <w:rPr>
          <w:b/>
          <w:lang w:val="en-US"/>
        </w:rPr>
        <w:t xml:space="preserve">Organization: </w:t>
      </w:r>
    </w:p>
    <w:p w:rsidR="00BD0F1D" w:rsidRDefault="00BD0F1D">
      <w:pPr>
        <w:rPr>
          <w:lang w:val="en-US"/>
        </w:rPr>
      </w:pPr>
      <w:r>
        <w:rPr>
          <w:lang w:val="en-US"/>
        </w:rPr>
        <w:t>Natural Resources Institute Finland</w:t>
      </w:r>
      <w:r w:rsidR="006267EE">
        <w:rPr>
          <w:lang w:val="en-US"/>
        </w:rPr>
        <w:t xml:space="preserve"> (Luke,) </w:t>
      </w:r>
      <w:proofErr w:type="spellStart"/>
      <w:r w:rsidR="006267EE">
        <w:rPr>
          <w:lang w:val="en-US"/>
        </w:rPr>
        <w:t>Luonnonvarakeskus</w:t>
      </w:r>
      <w:proofErr w:type="spellEnd"/>
    </w:p>
    <w:p w:rsidR="00BD0F1D" w:rsidRPr="00377F0E" w:rsidRDefault="00BD0F1D">
      <w:pPr>
        <w:rPr>
          <w:b/>
        </w:rPr>
      </w:pPr>
      <w:proofErr w:type="spellStart"/>
      <w:r w:rsidRPr="00377F0E">
        <w:rPr>
          <w:b/>
        </w:rPr>
        <w:t>Distribution</w:t>
      </w:r>
      <w:proofErr w:type="spellEnd"/>
      <w:r w:rsidRPr="00377F0E">
        <w:rPr>
          <w:b/>
        </w:rPr>
        <w:t>:</w:t>
      </w:r>
    </w:p>
    <w:p w:rsidR="00BD0F1D" w:rsidRDefault="00BD0F1D">
      <w:r w:rsidRPr="00BD0F1D">
        <w:t>Paituli-paikkatietopalvelu, luke.kartta.fi</w:t>
      </w:r>
    </w:p>
    <w:p w:rsidR="00BD0F1D" w:rsidRPr="00377F0E" w:rsidRDefault="00BD0F1D">
      <w:pPr>
        <w:rPr>
          <w:b/>
          <w:lang w:val="en-US"/>
        </w:rPr>
      </w:pPr>
      <w:r w:rsidRPr="00377F0E">
        <w:rPr>
          <w:b/>
          <w:lang w:val="en-US"/>
        </w:rPr>
        <w:t>Data availability:</w:t>
      </w:r>
    </w:p>
    <w:p w:rsidR="00BD0F1D" w:rsidRDefault="00BD0F1D">
      <w:pPr>
        <w:rPr>
          <w:lang w:val="en-US"/>
        </w:rPr>
      </w:pPr>
      <w:r w:rsidRPr="00BD0F1D">
        <w:rPr>
          <w:lang w:val="en-US"/>
        </w:rPr>
        <w:t>Access this dataset freely</w:t>
      </w:r>
      <w:r w:rsidR="00CC5EF6">
        <w:rPr>
          <w:lang w:val="en-US"/>
        </w:rPr>
        <w:t xml:space="preserve"> </w:t>
      </w:r>
      <w:r w:rsidR="006267EE">
        <w:rPr>
          <w:lang w:val="en-US"/>
        </w:rPr>
        <w:t>(</w:t>
      </w:r>
      <w:r w:rsidR="00CC5EF6">
        <w:rPr>
          <w:lang w:val="en-US"/>
        </w:rPr>
        <w:t>if cited appropriately</w:t>
      </w:r>
      <w:r w:rsidR="006267EE">
        <w:rPr>
          <w:lang w:val="en-US"/>
        </w:rPr>
        <w:t>)</w:t>
      </w:r>
    </w:p>
    <w:p w:rsidR="00377F0E" w:rsidRPr="00377F0E" w:rsidRDefault="00377F0E" w:rsidP="00377F0E">
      <w:pPr>
        <w:rPr>
          <w:b/>
          <w:lang w:val="en-US"/>
        </w:rPr>
      </w:pPr>
      <w:r w:rsidRPr="00377F0E">
        <w:rPr>
          <w:b/>
          <w:lang w:val="en-US"/>
        </w:rPr>
        <w:t>Supplements:</w:t>
      </w:r>
    </w:p>
    <w:p w:rsidR="00377F0E" w:rsidRDefault="00377F0E" w:rsidP="00377F0E">
      <w:pPr>
        <w:rPr>
          <w:lang w:val="en-US"/>
        </w:rPr>
      </w:pPr>
      <w:r>
        <w:rPr>
          <w:lang w:val="en-US"/>
        </w:rPr>
        <w:t>“</w:t>
      </w:r>
      <w:r w:rsidRPr="00377F0E">
        <w:rPr>
          <w:lang w:val="en-US"/>
        </w:rPr>
        <w:t>Details of DEM pre-processing for TWI calculation</w:t>
      </w:r>
      <w:r>
        <w:rPr>
          <w:lang w:val="en-US"/>
        </w:rPr>
        <w:t>”</w:t>
      </w:r>
      <w:r w:rsidRPr="00377F0E">
        <w:rPr>
          <w:lang w:val="en-US"/>
        </w:rPr>
        <w:t xml:space="preserve"> </w:t>
      </w:r>
    </w:p>
    <w:p w:rsidR="00377F0E" w:rsidRPr="00377F0E" w:rsidRDefault="00377F0E" w:rsidP="00377F0E">
      <w:pPr>
        <w:rPr>
          <w:b/>
          <w:lang w:val="en-US"/>
        </w:rPr>
      </w:pPr>
      <w:r w:rsidRPr="00377F0E">
        <w:rPr>
          <w:b/>
          <w:lang w:val="en-US"/>
        </w:rPr>
        <w:t>License:</w:t>
      </w:r>
    </w:p>
    <w:p w:rsidR="00BD0F1D" w:rsidRDefault="00377F0E" w:rsidP="00377F0E">
      <w:pPr>
        <w:rPr>
          <w:lang w:val="en-US"/>
        </w:rPr>
      </w:pPr>
      <w:r w:rsidRPr="00377F0E">
        <w:rPr>
          <w:lang w:val="en-US"/>
        </w:rPr>
        <w:t>Creative Commons Attribution 4.0</w:t>
      </w:r>
    </w:p>
    <w:p w:rsidR="00377F0E" w:rsidRDefault="00BD0F1D">
      <w:pPr>
        <w:rPr>
          <w:lang w:val="en-US"/>
        </w:rPr>
      </w:pPr>
      <w:r w:rsidRPr="00377F0E">
        <w:rPr>
          <w:b/>
          <w:lang w:val="en-US"/>
        </w:rPr>
        <w:t>Citation:</w:t>
      </w:r>
      <w:r>
        <w:rPr>
          <w:lang w:val="en-US"/>
        </w:rPr>
        <w:t xml:space="preserve"> </w:t>
      </w:r>
    </w:p>
    <w:p w:rsidR="00377F0E" w:rsidRPr="00377F0E" w:rsidRDefault="00BD0F1D" w:rsidP="00377F0E">
      <w:pPr>
        <w:rPr>
          <w:lang w:val="en-US"/>
        </w:rPr>
      </w:pPr>
      <w:r>
        <w:rPr>
          <w:lang w:val="en-US"/>
        </w:rPr>
        <w:t>Salmivaara</w:t>
      </w:r>
      <w:r w:rsidR="00377F0E">
        <w:rPr>
          <w:lang w:val="en-US"/>
        </w:rPr>
        <w:t>, A. Launiainen, S., Tuominen, S., Ala-Ilomäki, J.,</w:t>
      </w:r>
      <w:r w:rsidR="00377F0E" w:rsidRPr="00377F0E">
        <w:rPr>
          <w:lang w:val="en-US"/>
        </w:rPr>
        <w:t xml:space="preserve"> </w:t>
      </w:r>
      <w:r w:rsidR="00377F0E">
        <w:rPr>
          <w:lang w:val="en-US"/>
        </w:rPr>
        <w:t>Finér, L.</w:t>
      </w:r>
      <w:r>
        <w:rPr>
          <w:lang w:val="en-US"/>
        </w:rPr>
        <w:t xml:space="preserve"> 2017: Topographic Wetness Index for Finland, Natural Resources Institute Finland,</w:t>
      </w:r>
      <w:r w:rsidRPr="00BD0F1D">
        <w:rPr>
          <w:lang w:val="en-US"/>
        </w:rPr>
        <w:t xml:space="preserve"> </w:t>
      </w:r>
      <w:proofErr w:type="spellStart"/>
      <w:r w:rsidRPr="00BD0F1D">
        <w:rPr>
          <w:lang w:val="en-US"/>
        </w:rPr>
        <w:t>Etsin</w:t>
      </w:r>
      <w:proofErr w:type="spellEnd"/>
      <w:r w:rsidRPr="00BD0F1D">
        <w:rPr>
          <w:lang w:val="en-US"/>
        </w:rPr>
        <w:t xml:space="preserve"> research data finder, 2017. </w:t>
      </w:r>
      <w:r w:rsidRPr="006267EE">
        <w:rPr>
          <w:highlight w:val="yellow"/>
          <w:lang w:val="en-US"/>
        </w:rPr>
        <w:t>https://etsin.avointiede.fi/dataset/XXXXX</w:t>
      </w:r>
    </w:p>
    <w:p w:rsidR="00377F0E" w:rsidRPr="00377F0E" w:rsidRDefault="00377F0E" w:rsidP="00377F0E">
      <w:pPr>
        <w:rPr>
          <w:b/>
          <w:lang w:val="en-US"/>
        </w:rPr>
      </w:pPr>
      <w:r w:rsidRPr="00377F0E">
        <w:rPr>
          <w:b/>
          <w:lang w:val="en-US"/>
        </w:rPr>
        <w:t>Geographical areas covered</w:t>
      </w:r>
      <w:r>
        <w:rPr>
          <w:b/>
          <w:lang w:val="en-US"/>
        </w:rPr>
        <w:t>:</w:t>
      </w:r>
    </w:p>
    <w:p w:rsidR="00377F0E" w:rsidRDefault="00377F0E" w:rsidP="00377F0E">
      <w:pPr>
        <w:rPr>
          <w:lang w:val="en-US"/>
        </w:rPr>
      </w:pPr>
      <w:r>
        <w:rPr>
          <w:lang w:val="en-US"/>
        </w:rPr>
        <w:t>Finland</w:t>
      </w:r>
      <w:r w:rsidR="00DD73A7">
        <w:rPr>
          <w:lang w:val="en-US"/>
        </w:rPr>
        <w:br/>
        <w:t xml:space="preserve">ETRS-TM35FIN: </w:t>
      </w:r>
      <w:r w:rsidR="00156207">
        <w:rPr>
          <w:lang w:val="en-US"/>
        </w:rPr>
        <w:t xml:space="preserve">N </w:t>
      </w:r>
      <w:r w:rsidR="00156207" w:rsidRPr="00156207">
        <w:rPr>
          <w:lang w:val="en-US"/>
        </w:rPr>
        <w:t>7774992</w:t>
      </w:r>
      <w:proofErr w:type="gramStart"/>
      <w:r w:rsidR="00156207">
        <w:rPr>
          <w:lang w:val="en-US"/>
        </w:rPr>
        <w:t>,</w:t>
      </w:r>
      <w:r w:rsidR="00DD73A7">
        <w:rPr>
          <w:lang w:val="en-US"/>
        </w:rPr>
        <w:t>W</w:t>
      </w:r>
      <w:proofErr w:type="gramEnd"/>
      <w:r w:rsidR="00DD73A7" w:rsidRPr="00DD73A7">
        <w:rPr>
          <w:lang w:val="en-US"/>
        </w:rPr>
        <w:t xml:space="preserve"> 94624</w:t>
      </w:r>
      <w:r w:rsidR="00DD73A7">
        <w:rPr>
          <w:lang w:val="en-US"/>
        </w:rPr>
        <w:t>, E</w:t>
      </w:r>
      <w:r w:rsidR="00DD73A7" w:rsidRPr="00DD73A7">
        <w:rPr>
          <w:lang w:val="en-US"/>
        </w:rPr>
        <w:t xml:space="preserve"> 733392</w:t>
      </w:r>
      <w:r w:rsidR="00DD73A7">
        <w:rPr>
          <w:lang w:val="en-US"/>
        </w:rPr>
        <w:t>, S</w:t>
      </w:r>
      <w:r w:rsidR="00DD73A7" w:rsidRPr="00DD73A7">
        <w:rPr>
          <w:lang w:val="en-US"/>
        </w:rPr>
        <w:t xml:space="preserve"> 6637136</w:t>
      </w:r>
    </w:p>
    <w:p w:rsidR="00DD73A7" w:rsidRPr="00DD73A7" w:rsidRDefault="00DD73A7" w:rsidP="00DD73A7">
      <w:pPr>
        <w:rPr>
          <w:lang w:val="en-US"/>
        </w:rPr>
      </w:pPr>
      <w:r>
        <w:rPr>
          <w:lang w:val="en-US"/>
        </w:rPr>
        <w:t>WGS84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</w:r>
      <w:r w:rsidRPr="00DD73A7">
        <w:rPr>
          <w:lang w:val="en-US"/>
        </w:rPr>
        <w:t xml:space="preserve">West Bounding Longitude: </w:t>
      </w:r>
      <w:r w:rsidRPr="00DD73A7">
        <w:rPr>
          <w:lang w:val="en-US"/>
        </w:rPr>
        <w:tab/>
      </w:r>
      <w:r w:rsidRPr="00DD73A7">
        <w:rPr>
          <w:rStyle w:val="coordinatedisplay-deg"/>
          <w:lang w:val="en-US"/>
        </w:rPr>
        <w:t>19.7937</w:t>
      </w:r>
      <w:r>
        <w:rPr>
          <w:lang w:val="en-US"/>
        </w:rPr>
        <w:br/>
      </w:r>
      <w:r w:rsidRPr="00DD73A7">
        <w:rPr>
          <w:lang w:val="en-US"/>
        </w:rPr>
        <w:t xml:space="preserve">South Bounding Latitude: </w:t>
      </w:r>
      <w:r w:rsidRPr="00DD73A7">
        <w:rPr>
          <w:lang w:val="en-US"/>
        </w:rPr>
        <w:tab/>
      </w:r>
      <w:r>
        <w:rPr>
          <w:rStyle w:val="coordinatedisplay-deg"/>
          <w:lang w:val="en-US"/>
        </w:rPr>
        <w:t>59.</w:t>
      </w:r>
      <w:r w:rsidRPr="00DD73A7">
        <w:rPr>
          <w:rStyle w:val="coordinatedisplay-deg"/>
          <w:lang w:val="en-US"/>
        </w:rPr>
        <w:t>6738</w:t>
      </w:r>
      <w:r>
        <w:rPr>
          <w:lang w:val="en-US"/>
        </w:rPr>
        <w:br/>
      </w:r>
      <w:r w:rsidRPr="00DD73A7">
        <w:rPr>
          <w:lang w:val="en-US"/>
        </w:rPr>
        <w:t xml:space="preserve">East Bounding Longitude: </w:t>
      </w:r>
      <w:r w:rsidRPr="00DD73A7">
        <w:rPr>
          <w:lang w:val="en-US"/>
        </w:rPr>
        <w:tab/>
      </w:r>
      <w:r w:rsidRPr="00DD73A7">
        <w:rPr>
          <w:rStyle w:val="coordinatedisplay-deg"/>
          <w:lang w:val="en-US"/>
        </w:rPr>
        <w:t>33.1164</w:t>
      </w:r>
      <w:r>
        <w:rPr>
          <w:lang w:val="en-US"/>
        </w:rPr>
        <w:br/>
      </w:r>
      <w:r w:rsidRPr="00DD73A7">
        <w:rPr>
          <w:lang w:val="en-US"/>
        </w:rPr>
        <w:t xml:space="preserve">North Bounding Latitude: </w:t>
      </w:r>
      <w:r w:rsidRPr="00DD73A7">
        <w:rPr>
          <w:lang w:val="en-US"/>
        </w:rPr>
        <w:tab/>
      </w:r>
      <w:r>
        <w:rPr>
          <w:rStyle w:val="coordinatedisplay-deg"/>
          <w:lang w:val="en-US"/>
        </w:rPr>
        <w:t>69.9767</w:t>
      </w:r>
    </w:p>
    <w:p w:rsidR="00377F0E" w:rsidRPr="00377F0E" w:rsidRDefault="00377F0E" w:rsidP="00377F0E">
      <w:pPr>
        <w:rPr>
          <w:b/>
          <w:lang w:val="en-US"/>
        </w:rPr>
      </w:pPr>
      <w:r w:rsidRPr="00377F0E">
        <w:rPr>
          <w:b/>
          <w:lang w:val="en-US"/>
        </w:rPr>
        <w:t>Period of time covered</w:t>
      </w:r>
      <w:r>
        <w:rPr>
          <w:b/>
          <w:lang w:val="en-US"/>
        </w:rPr>
        <w:t>:</w:t>
      </w:r>
    </w:p>
    <w:p w:rsidR="00BD0F1D" w:rsidRDefault="00377F0E" w:rsidP="00377F0E">
      <w:pPr>
        <w:rPr>
          <w:lang w:val="en-US"/>
        </w:rPr>
      </w:pPr>
      <w:r>
        <w:rPr>
          <w:lang w:val="en-US"/>
        </w:rPr>
        <w:lastRenderedPageBreak/>
        <w:t>2m DEM status in 06/2016 + 10m DEM</w:t>
      </w:r>
    </w:p>
    <w:p w:rsidR="00377F0E" w:rsidRPr="00377F0E" w:rsidRDefault="00377F0E" w:rsidP="00377F0E">
      <w:pPr>
        <w:rPr>
          <w:b/>
          <w:lang w:val="en-US"/>
        </w:rPr>
      </w:pPr>
      <w:r w:rsidRPr="00377F0E">
        <w:rPr>
          <w:b/>
          <w:lang w:val="en-US"/>
        </w:rPr>
        <w:t>Project and funding information</w:t>
      </w:r>
      <w:r>
        <w:rPr>
          <w:b/>
          <w:lang w:val="en-US"/>
        </w:rPr>
        <w:t>:</w:t>
      </w:r>
    </w:p>
    <w:p w:rsidR="00B80478" w:rsidRDefault="00377F0E" w:rsidP="00377F0E">
      <w:pPr>
        <w:rPr>
          <w:lang w:val="en-US"/>
        </w:rPr>
      </w:pPr>
      <w:r w:rsidRPr="00377F0E">
        <w:rPr>
          <w:lang w:val="en-US"/>
        </w:rPr>
        <w:t>Project name</w:t>
      </w:r>
      <w:r w:rsidR="00B80478">
        <w:rPr>
          <w:lang w:val="en-US"/>
        </w:rPr>
        <w:t xml:space="preserve">: </w:t>
      </w:r>
      <w:r w:rsidRPr="00377F0E">
        <w:rPr>
          <w:lang w:val="en-US"/>
        </w:rPr>
        <w:t xml:space="preserve"> </w:t>
      </w:r>
      <w:r w:rsidR="00B80478">
        <w:rPr>
          <w:lang w:val="en-US"/>
        </w:rPr>
        <w:br/>
        <w:t xml:space="preserve">FOTETRAF </w:t>
      </w:r>
      <w:r w:rsidR="00B80478" w:rsidRPr="00B80478">
        <w:rPr>
          <w:lang w:val="en-US"/>
        </w:rPr>
        <w:t xml:space="preserve">Advanced computational methodologies on open big data for forest terrain </w:t>
      </w:r>
      <w:proofErr w:type="spellStart"/>
      <w:r w:rsidR="00B80478" w:rsidRPr="00B80478">
        <w:rPr>
          <w:lang w:val="en-US"/>
        </w:rPr>
        <w:t>trafficability</w:t>
      </w:r>
      <w:proofErr w:type="spellEnd"/>
      <w:r w:rsidR="00B80478" w:rsidRPr="00B80478">
        <w:rPr>
          <w:lang w:val="en-US"/>
        </w:rPr>
        <w:t xml:space="preserve"> monitoring and forecasting</w:t>
      </w:r>
      <w:r w:rsidRPr="00377F0E">
        <w:rPr>
          <w:lang w:val="en-US"/>
        </w:rPr>
        <w:tab/>
      </w:r>
    </w:p>
    <w:p w:rsidR="00B80478" w:rsidRDefault="00377F0E" w:rsidP="00377F0E">
      <w:pPr>
        <w:rPr>
          <w:lang w:val="en-US"/>
        </w:rPr>
      </w:pPr>
      <w:r w:rsidRPr="00377F0E">
        <w:rPr>
          <w:lang w:val="en-US"/>
        </w:rPr>
        <w:t>Funder</w:t>
      </w:r>
      <w:r w:rsidR="00B80478">
        <w:rPr>
          <w:lang w:val="en-US"/>
        </w:rPr>
        <w:t>:</w:t>
      </w:r>
      <w:r w:rsidRPr="00377F0E">
        <w:rPr>
          <w:lang w:val="en-US"/>
        </w:rPr>
        <w:t xml:space="preserve"> </w:t>
      </w:r>
      <w:r w:rsidRPr="00377F0E">
        <w:rPr>
          <w:lang w:val="en-US"/>
        </w:rPr>
        <w:tab/>
      </w:r>
      <w:r w:rsidR="00B80478">
        <w:rPr>
          <w:lang w:val="en-US"/>
        </w:rPr>
        <w:br/>
        <w:t>Academy of Finland</w:t>
      </w:r>
    </w:p>
    <w:p w:rsidR="00B80478" w:rsidRDefault="00377F0E" w:rsidP="00377F0E">
      <w:pPr>
        <w:rPr>
          <w:lang w:val="en-US"/>
        </w:rPr>
      </w:pPr>
      <w:r w:rsidRPr="00377F0E">
        <w:rPr>
          <w:lang w:val="en-US"/>
        </w:rPr>
        <w:t>URL</w:t>
      </w:r>
      <w:r w:rsidR="00B80478">
        <w:rPr>
          <w:lang w:val="en-US"/>
        </w:rPr>
        <w:t>:</w:t>
      </w:r>
      <w:r w:rsidRPr="00377F0E">
        <w:rPr>
          <w:lang w:val="en-US"/>
        </w:rPr>
        <w:t xml:space="preserve"> </w:t>
      </w:r>
      <w:r w:rsidRPr="00377F0E">
        <w:rPr>
          <w:lang w:val="en-US"/>
        </w:rPr>
        <w:tab/>
      </w:r>
      <w:r w:rsidR="00B80478">
        <w:rPr>
          <w:lang w:val="en-US"/>
        </w:rPr>
        <w:tab/>
      </w:r>
      <w:r w:rsidR="00B80478">
        <w:rPr>
          <w:lang w:val="en-US"/>
        </w:rPr>
        <w:br/>
      </w:r>
      <w:r w:rsidR="00B80478" w:rsidRPr="00B80478">
        <w:rPr>
          <w:lang w:val="en-US"/>
        </w:rPr>
        <w:t>https://www.luke.fi/projektit/fotetraf-sa-paatos-295337/</w:t>
      </w:r>
    </w:p>
    <w:p w:rsidR="00377F0E" w:rsidRDefault="00B80478" w:rsidP="00377F0E">
      <w:pPr>
        <w:rPr>
          <w:lang w:val="en-US"/>
        </w:rPr>
      </w:pPr>
      <w:r>
        <w:rPr>
          <w:lang w:val="en-US"/>
        </w:rPr>
        <w:t>Funding ID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  <w:t>295337</w:t>
      </w:r>
    </w:p>
    <w:p w:rsidR="00B80478" w:rsidRPr="00B80478" w:rsidRDefault="00B80478" w:rsidP="00B80478">
      <w:pPr>
        <w:rPr>
          <w:b/>
          <w:lang w:val="en-US"/>
        </w:rPr>
      </w:pPr>
      <w:r w:rsidRPr="00B80478">
        <w:rPr>
          <w:b/>
          <w:lang w:val="en-US"/>
        </w:rPr>
        <w:t>Additional information:</w:t>
      </w:r>
    </w:p>
    <w:p w:rsidR="00B80478" w:rsidRDefault="00B80478" w:rsidP="00B80478">
      <w:pPr>
        <w:rPr>
          <w:lang w:val="en-US"/>
        </w:rPr>
      </w:pPr>
      <w:r>
        <w:rPr>
          <w:lang w:val="en-US"/>
        </w:rPr>
        <w:t xml:space="preserve">File format </w:t>
      </w:r>
      <w:r>
        <w:rPr>
          <w:lang w:val="en-US"/>
        </w:rPr>
        <w:tab/>
        <w:t>.</w:t>
      </w:r>
      <w:proofErr w:type="spellStart"/>
      <w:r>
        <w:rPr>
          <w:lang w:val="en-US"/>
        </w:rPr>
        <w:t>tif</w:t>
      </w:r>
      <w:proofErr w:type="spellEnd"/>
      <w:r w:rsidR="006267EE">
        <w:rPr>
          <w:lang w:val="en-US"/>
        </w:rPr>
        <w:t>,</w:t>
      </w:r>
      <w:r>
        <w:rPr>
          <w:lang w:val="en-US"/>
        </w:rPr>
        <w:t xml:space="preserve"> .</w:t>
      </w:r>
      <w:proofErr w:type="spellStart"/>
      <w:r>
        <w:rPr>
          <w:lang w:val="en-US"/>
        </w:rPr>
        <w:t>asc</w:t>
      </w:r>
      <w:proofErr w:type="spellEnd"/>
    </w:p>
    <w:p w:rsidR="00B80478" w:rsidRDefault="00F13077" w:rsidP="00B80478">
      <w:pPr>
        <w:rPr>
          <w:lang w:val="en-US"/>
        </w:rPr>
      </w:pPr>
      <w:r>
        <w:rPr>
          <w:lang w:val="en-US"/>
        </w:rPr>
        <w:t>Projection: EPSG</w:t>
      </w:r>
      <w:proofErr w:type="gramStart"/>
      <w:r>
        <w:rPr>
          <w:lang w:val="en-US"/>
        </w:rPr>
        <w:t>:3067</w:t>
      </w:r>
      <w:proofErr w:type="gramEnd"/>
      <w:r>
        <w:rPr>
          <w:lang w:val="en-US"/>
        </w:rPr>
        <w:t>, EUREF-FIN, ETRS-TM35FIN</w:t>
      </w:r>
    </w:p>
    <w:p w:rsidR="00F13077" w:rsidRDefault="00F13077" w:rsidP="00B80478">
      <w:pPr>
        <w:rPr>
          <w:lang w:val="en-US"/>
        </w:rPr>
      </w:pPr>
      <w:r>
        <w:rPr>
          <w:lang w:val="en-US"/>
        </w:rPr>
        <w:t>Resolution: 16*16m</w:t>
      </w:r>
    </w:p>
    <w:p w:rsidR="00CC5EF6" w:rsidRDefault="00CC5EF6" w:rsidP="00B80478">
      <w:pPr>
        <w:rPr>
          <w:lang w:val="en-US"/>
        </w:rPr>
      </w:pPr>
      <w:r>
        <w:rPr>
          <w:lang w:val="en-US"/>
        </w:rPr>
        <w:t>Contact for more information: aura.salmivaara@luke.fi</w:t>
      </w:r>
    </w:p>
    <w:p w:rsidR="00685605" w:rsidRPr="00BD0F1D" w:rsidRDefault="00685605" w:rsidP="006267EE">
      <w:pPr>
        <w:rPr>
          <w:lang w:val="en-US"/>
        </w:rPr>
      </w:pPr>
    </w:p>
    <w:sectPr w:rsidR="00685605" w:rsidRPr="00BD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30"/>
    <w:rsid w:val="000329F9"/>
    <w:rsid w:val="00040768"/>
    <w:rsid w:val="0005692F"/>
    <w:rsid w:val="00081618"/>
    <w:rsid w:val="00097A57"/>
    <w:rsid w:val="000D602F"/>
    <w:rsid w:val="000D7C4E"/>
    <w:rsid w:val="000E0257"/>
    <w:rsid w:val="001318AA"/>
    <w:rsid w:val="00152D00"/>
    <w:rsid w:val="00156207"/>
    <w:rsid w:val="00164649"/>
    <w:rsid w:val="00172E85"/>
    <w:rsid w:val="00180186"/>
    <w:rsid w:val="001A15EA"/>
    <w:rsid w:val="001D5419"/>
    <w:rsid w:val="001F27A2"/>
    <w:rsid w:val="00210671"/>
    <w:rsid w:val="00243061"/>
    <w:rsid w:val="002552E4"/>
    <w:rsid w:val="00273C81"/>
    <w:rsid w:val="002832B7"/>
    <w:rsid w:val="002E6F05"/>
    <w:rsid w:val="00317458"/>
    <w:rsid w:val="003612C9"/>
    <w:rsid w:val="00377F0E"/>
    <w:rsid w:val="00386C8C"/>
    <w:rsid w:val="003C56C3"/>
    <w:rsid w:val="004174FB"/>
    <w:rsid w:val="00434233"/>
    <w:rsid w:val="0049451F"/>
    <w:rsid w:val="004A4D88"/>
    <w:rsid w:val="004A4FF1"/>
    <w:rsid w:val="004C602A"/>
    <w:rsid w:val="004C6609"/>
    <w:rsid w:val="004F5CB7"/>
    <w:rsid w:val="005135D2"/>
    <w:rsid w:val="00547A2B"/>
    <w:rsid w:val="0058388C"/>
    <w:rsid w:val="00596C43"/>
    <w:rsid w:val="005E074A"/>
    <w:rsid w:val="005E50C5"/>
    <w:rsid w:val="005E6D99"/>
    <w:rsid w:val="0060367B"/>
    <w:rsid w:val="006267EE"/>
    <w:rsid w:val="00631652"/>
    <w:rsid w:val="00645F23"/>
    <w:rsid w:val="006637F4"/>
    <w:rsid w:val="00685605"/>
    <w:rsid w:val="006B4BEB"/>
    <w:rsid w:val="006C273F"/>
    <w:rsid w:val="006C4C09"/>
    <w:rsid w:val="007065FA"/>
    <w:rsid w:val="007152B1"/>
    <w:rsid w:val="0074403B"/>
    <w:rsid w:val="00765E72"/>
    <w:rsid w:val="007905F6"/>
    <w:rsid w:val="007B31C0"/>
    <w:rsid w:val="007E0662"/>
    <w:rsid w:val="008031A0"/>
    <w:rsid w:val="00816B2E"/>
    <w:rsid w:val="00844B3D"/>
    <w:rsid w:val="00871D97"/>
    <w:rsid w:val="0087621A"/>
    <w:rsid w:val="008B32B7"/>
    <w:rsid w:val="008D219B"/>
    <w:rsid w:val="008E2179"/>
    <w:rsid w:val="008F26AA"/>
    <w:rsid w:val="00901400"/>
    <w:rsid w:val="009129BA"/>
    <w:rsid w:val="00930385"/>
    <w:rsid w:val="0094431C"/>
    <w:rsid w:val="00965537"/>
    <w:rsid w:val="00986699"/>
    <w:rsid w:val="009A0C2D"/>
    <w:rsid w:val="009E583E"/>
    <w:rsid w:val="009F2A2B"/>
    <w:rsid w:val="009F2F81"/>
    <w:rsid w:val="00A43935"/>
    <w:rsid w:val="00A654CE"/>
    <w:rsid w:val="00AA3B7C"/>
    <w:rsid w:val="00AA6084"/>
    <w:rsid w:val="00AC61A7"/>
    <w:rsid w:val="00AE02DA"/>
    <w:rsid w:val="00B067AF"/>
    <w:rsid w:val="00B179A7"/>
    <w:rsid w:val="00B364D7"/>
    <w:rsid w:val="00B36D52"/>
    <w:rsid w:val="00B7032D"/>
    <w:rsid w:val="00B75443"/>
    <w:rsid w:val="00B77990"/>
    <w:rsid w:val="00B80478"/>
    <w:rsid w:val="00B946BB"/>
    <w:rsid w:val="00BD0F1D"/>
    <w:rsid w:val="00C0159C"/>
    <w:rsid w:val="00C44C0E"/>
    <w:rsid w:val="00C73F30"/>
    <w:rsid w:val="00C77A68"/>
    <w:rsid w:val="00CA7612"/>
    <w:rsid w:val="00CC5EF6"/>
    <w:rsid w:val="00CD577C"/>
    <w:rsid w:val="00D0192B"/>
    <w:rsid w:val="00D14536"/>
    <w:rsid w:val="00D808EA"/>
    <w:rsid w:val="00DC1695"/>
    <w:rsid w:val="00DC2151"/>
    <w:rsid w:val="00DC2FCE"/>
    <w:rsid w:val="00DC6447"/>
    <w:rsid w:val="00DC7F04"/>
    <w:rsid w:val="00DD73A7"/>
    <w:rsid w:val="00DE174F"/>
    <w:rsid w:val="00DE3227"/>
    <w:rsid w:val="00DE36CF"/>
    <w:rsid w:val="00E203CA"/>
    <w:rsid w:val="00E431D9"/>
    <w:rsid w:val="00E572FC"/>
    <w:rsid w:val="00E71316"/>
    <w:rsid w:val="00E9330B"/>
    <w:rsid w:val="00E95CC8"/>
    <w:rsid w:val="00EB093B"/>
    <w:rsid w:val="00EC4D74"/>
    <w:rsid w:val="00F04FA8"/>
    <w:rsid w:val="00F07E49"/>
    <w:rsid w:val="00F13077"/>
    <w:rsid w:val="00F809EA"/>
    <w:rsid w:val="00F90727"/>
    <w:rsid w:val="00FA5897"/>
    <w:rsid w:val="00F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56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character" w:customStyle="1" w:styleId="coordinatedisplay-deg">
    <w:name w:val="coordinatedisplay-deg"/>
    <w:basedOn w:val="DefaultParagraphFont"/>
    <w:rsid w:val="00DD7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56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character" w:customStyle="1" w:styleId="coordinatedisplay-deg">
    <w:name w:val="coordinatedisplay-deg"/>
    <w:basedOn w:val="DefaultParagraphFont"/>
    <w:rsid w:val="00DD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540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LUKE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Salmivaara Aura (Luke)</dc:creator>
  <cp:lastModifiedBy>Salmivaara Aura (Luke)</cp:lastModifiedBy>
  <cp:revision>4</cp:revision>
  <dcterms:created xsi:type="dcterms:W3CDTF">2017-05-08T14:04:00Z</dcterms:created>
  <dcterms:modified xsi:type="dcterms:W3CDTF">2017-05-08T14:22:00Z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107</vt:lpwstr>
  </property>
  <property fmtid="{D5CDD505-2E9C-101B-9397-08002B2CF9AE}" pid="3" name="WnCSubscriberId">
    <vt:lpwstr>7861</vt:lpwstr>
  </property>
  <property fmtid="{D5CDD505-2E9C-101B-9397-08002B2CF9AE}" pid="4" name="WnCOutputStyleId">
    <vt:lpwstr>1669</vt:lpwstr>
  </property>
  <property fmtid="{D5CDD505-2E9C-101B-9397-08002B2CF9AE}" pid="5" name="RWProductId">
    <vt:lpwstr>WnC</vt:lpwstr>
  </property>
  <property fmtid="{D5CDD505-2E9C-101B-9397-08002B2CF9AE}" pid="6" name="WnC4Folder">
    <vt:lpwstr>Documents///TWI_metadata_description</vt:lpwstr>
  </property>
</Properties>
</file>